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DF0D" w14:textId="77777777" w:rsidR="00214AB7" w:rsidRPr="00CE709C" w:rsidRDefault="00214AB7" w:rsidP="04B28456">
      <w:pPr>
        <w:jc w:val="center"/>
        <w:rPr>
          <w:b/>
          <w:bCs/>
          <w:sz w:val="20"/>
          <w:szCs w:val="20"/>
          <w:u w:val="single"/>
          <w:lang w:val="es-CR"/>
        </w:rPr>
      </w:pPr>
      <w:r w:rsidRPr="00CE709C">
        <w:rPr>
          <w:b/>
          <w:bCs/>
          <w:sz w:val="20"/>
          <w:szCs w:val="20"/>
          <w:u w:val="single"/>
          <w:lang w:val="es-CR"/>
        </w:rPr>
        <w:t xml:space="preserve">Caso </w:t>
      </w:r>
      <w:r w:rsidR="006E15DE" w:rsidRPr="00CE709C">
        <w:rPr>
          <w:b/>
          <w:bCs/>
          <w:sz w:val="20"/>
          <w:szCs w:val="20"/>
          <w:u w:val="single"/>
          <w:lang w:val="es-CR"/>
        </w:rPr>
        <w:t>Garzón Guzmán</w:t>
      </w:r>
      <w:r w:rsidRPr="00CE709C">
        <w:rPr>
          <w:b/>
          <w:bCs/>
          <w:sz w:val="20"/>
          <w:szCs w:val="20"/>
          <w:u w:val="single"/>
          <w:lang w:val="es-CR"/>
        </w:rPr>
        <w:t xml:space="preserve"> </w:t>
      </w:r>
      <w:r w:rsidR="00E5304C" w:rsidRPr="00CE709C">
        <w:rPr>
          <w:b/>
          <w:bCs/>
          <w:sz w:val="20"/>
          <w:szCs w:val="20"/>
          <w:u w:val="single"/>
          <w:lang w:val="es-CR"/>
        </w:rPr>
        <w:t xml:space="preserve">y otros </w:t>
      </w:r>
      <w:r w:rsidRPr="00CE709C">
        <w:rPr>
          <w:b/>
          <w:bCs/>
          <w:i/>
          <w:iCs/>
          <w:sz w:val="20"/>
          <w:szCs w:val="20"/>
          <w:u w:val="single"/>
          <w:lang w:val="es-CR"/>
        </w:rPr>
        <w:t>Vs</w:t>
      </w:r>
      <w:r w:rsidRPr="00CE709C">
        <w:rPr>
          <w:b/>
          <w:bCs/>
          <w:sz w:val="20"/>
          <w:szCs w:val="20"/>
          <w:u w:val="single"/>
          <w:lang w:val="es-CR"/>
        </w:rPr>
        <w:t>. Ecuador: reparaciones pendientes de cumplimiento</w:t>
      </w:r>
    </w:p>
    <w:p w14:paraId="672A6659" w14:textId="77777777" w:rsidR="00296F77" w:rsidRDefault="00296F77" w:rsidP="04B28456">
      <w:pPr>
        <w:tabs>
          <w:tab w:val="left" w:pos="709"/>
        </w:tabs>
        <w:ind w:right="99"/>
        <w:jc w:val="both"/>
        <w:rPr>
          <w:i/>
          <w:iCs/>
        </w:rPr>
      </w:pPr>
    </w:p>
    <w:p w14:paraId="0A37501D" w14:textId="77777777" w:rsidR="00E5304C" w:rsidRDefault="00E5304C" w:rsidP="00296F77">
      <w:pPr>
        <w:tabs>
          <w:tab w:val="left" w:pos="709"/>
        </w:tabs>
        <w:ind w:right="99"/>
        <w:jc w:val="both"/>
      </w:pPr>
    </w:p>
    <w:p w14:paraId="5DAB6C7B" w14:textId="77777777" w:rsidR="00214AB7" w:rsidRDefault="00214AB7" w:rsidP="00296F77">
      <w:pPr>
        <w:tabs>
          <w:tab w:val="left" w:pos="709"/>
        </w:tabs>
        <w:ind w:right="99"/>
        <w:jc w:val="both"/>
      </w:pPr>
    </w:p>
    <w:p w14:paraId="558C8C59" w14:textId="1941DD8F" w:rsidR="006E15DE" w:rsidRPr="006E15DE" w:rsidRDefault="006E15DE" w:rsidP="04B28456">
      <w:pPr>
        <w:jc w:val="both"/>
        <w:rPr>
          <w:rFonts w:eastAsia="Cambria" w:cs="Times New Roman"/>
          <w:sz w:val="20"/>
          <w:szCs w:val="20"/>
          <w:lang w:val="es-ES"/>
        </w:rPr>
      </w:pPr>
      <w:r w:rsidRPr="04B28456">
        <w:rPr>
          <w:rFonts w:eastAsia="Cambria" w:cs="Times New Roman"/>
          <w:sz w:val="20"/>
          <w:szCs w:val="20"/>
          <w:lang w:val="es-ES"/>
        </w:rPr>
        <w:t xml:space="preserve">1. </w:t>
      </w:r>
      <w:r>
        <w:tab/>
      </w:r>
      <w:r w:rsidRPr="04B28456">
        <w:rPr>
          <w:rFonts w:eastAsia="Cambria" w:cs="Times New Roman"/>
          <w:sz w:val="20"/>
          <w:szCs w:val="20"/>
          <w:lang w:val="es-ES"/>
        </w:rPr>
        <w:t xml:space="preserve">El Estado debe continuar y llevar a cabo, en un plazo razonable y con la mayor diligencia, las investigaciones que sean necesarias para identificar, juzgar y, en su caso, sancionar a los responsables de la desaparición forzada de César Gustavo Garzón Guzmán, en los términos de lo establecido en los párrafos 102 a 105 de </w:t>
      </w:r>
      <w:r w:rsidR="00965A29">
        <w:rPr>
          <w:rFonts w:eastAsia="Cambria" w:cs="Times New Roman"/>
          <w:sz w:val="20"/>
          <w:szCs w:val="20"/>
          <w:lang w:val="es-ES"/>
        </w:rPr>
        <w:t>la</w:t>
      </w:r>
      <w:r w:rsidRPr="04B28456">
        <w:rPr>
          <w:rFonts w:eastAsia="Cambria" w:cs="Times New Roman"/>
          <w:sz w:val="20"/>
          <w:szCs w:val="20"/>
          <w:lang w:val="es-ES"/>
        </w:rPr>
        <w:t xml:space="preserve"> sentencia.</w:t>
      </w:r>
    </w:p>
    <w:p w14:paraId="02EB378F" w14:textId="77777777" w:rsidR="006E15DE" w:rsidRDefault="006E15DE" w:rsidP="006E15DE">
      <w:pPr>
        <w:jc w:val="both"/>
        <w:rPr>
          <w:rFonts w:eastAsia="Cambria" w:cs="Times New Roman"/>
          <w:bCs/>
          <w:sz w:val="20"/>
          <w:szCs w:val="20"/>
          <w:lang w:val="es-ES"/>
        </w:rPr>
      </w:pPr>
    </w:p>
    <w:p w14:paraId="2ABBBE91" w14:textId="32943856" w:rsidR="006E15DE" w:rsidRPr="006E15DE" w:rsidRDefault="006E15DE" w:rsidP="006E15DE">
      <w:pPr>
        <w:jc w:val="both"/>
        <w:rPr>
          <w:rFonts w:eastAsia="Cambria" w:cs="Times New Roman"/>
          <w:bCs/>
          <w:sz w:val="20"/>
          <w:szCs w:val="20"/>
          <w:lang w:val="es-ES"/>
        </w:rPr>
      </w:pPr>
      <w:r>
        <w:rPr>
          <w:rFonts w:eastAsia="Cambria" w:cs="Times New Roman"/>
          <w:bCs/>
          <w:sz w:val="20"/>
          <w:szCs w:val="20"/>
          <w:lang w:val="es-ES"/>
        </w:rPr>
        <w:t>2</w:t>
      </w:r>
      <w:r w:rsidRPr="006E15DE">
        <w:rPr>
          <w:rFonts w:eastAsia="Cambria" w:cs="Times New Roman"/>
          <w:bCs/>
          <w:sz w:val="20"/>
          <w:szCs w:val="20"/>
          <w:lang w:val="es-ES"/>
        </w:rPr>
        <w:t xml:space="preserve">. </w:t>
      </w:r>
      <w:r>
        <w:rPr>
          <w:rFonts w:eastAsia="Cambria" w:cs="Times New Roman"/>
          <w:bCs/>
          <w:sz w:val="20"/>
          <w:szCs w:val="20"/>
          <w:lang w:val="es-ES"/>
        </w:rPr>
        <w:tab/>
      </w:r>
      <w:r w:rsidRPr="006E15DE">
        <w:rPr>
          <w:rFonts w:eastAsia="Cambria" w:cs="Times New Roman"/>
          <w:bCs/>
          <w:sz w:val="20"/>
          <w:szCs w:val="20"/>
          <w:lang w:val="es-ES"/>
        </w:rPr>
        <w:t>El Estado debe realizar, a la mayor brevedad, una búsqu</w:t>
      </w:r>
      <w:r>
        <w:rPr>
          <w:rFonts w:eastAsia="Cambria" w:cs="Times New Roman"/>
          <w:bCs/>
          <w:sz w:val="20"/>
          <w:szCs w:val="20"/>
          <w:lang w:val="es-ES"/>
        </w:rPr>
        <w:t xml:space="preserve">eda rigurosa, sistemática y con </w:t>
      </w:r>
      <w:r w:rsidRPr="006E15DE">
        <w:rPr>
          <w:rFonts w:eastAsia="Cambria" w:cs="Times New Roman"/>
          <w:bCs/>
          <w:sz w:val="20"/>
          <w:szCs w:val="20"/>
          <w:lang w:val="es-ES"/>
        </w:rPr>
        <w:t>los recursos humanos y económicos adecuados, en la que r</w:t>
      </w:r>
      <w:r>
        <w:rPr>
          <w:rFonts w:eastAsia="Cambria" w:cs="Times New Roman"/>
          <w:bCs/>
          <w:sz w:val="20"/>
          <w:szCs w:val="20"/>
          <w:lang w:val="es-ES"/>
        </w:rPr>
        <w:t xml:space="preserve">ealice todos los esfuerzos para </w:t>
      </w:r>
      <w:r w:rsidRPr="006E15DE">
        <w:rPr>
          <w:rFonts w:eastAsia="Cambria" w:cs="Times New Roman"/>
          <w:bCs/>
          <w:sz w:val="20"/>
          <w:szCs w:val="20"/>
          <w:lang w:val="es-ES"/>
        </w:rPr>
        <w:t>determinar el paradero de César Gustavo Garzón Guzmán, la cual deberá realizar</w:t>
      </w:r>
      <w:r>
        <w:rPr>
          <w:rFonts w:eastAsia="Cambria" w:cs="Times New Roman"/>
          <w:bCs/>
          <w:sz w:val="20"/>
          <w:szCs w:val="20"/>
          <w:lang w:val="es-ES"/>
        </w:rPr>
        <w:t xml:space="preserve">se de </w:t>
      </w:r>
      <w:r w:rsidRPr="006E15DE">
        <w:rPr>
          <w:rFonts w:eastAsia="Cambria" w:cs="Times New Roman"/>
          <w:bCs/>
          <w:sz w:val="20"/>
          <w:szCs w:val="20"/>
          <w:lang w:val="es-ES"/>
        </w:rPr>
        <w:t xml:space="preserve">conformidad con lo establecido en los párrafos 109 a 110 de </w:t>
      </w:r>
      <w:r w:rsidR="00965A29">
        <w:rPr>
          <w:rFonts w:eastAsia="Cambria" w:cs="Times New Roman"/>
          <w:bCs/>
          <w:sz w:val="20"/>
          <w:szCs w:val="20"/>
          <w:lang w:val="es-ES"/>
        </w:rPr>
        <w:t>la</w:t>
      </w:r>
      <w:r w:rsidRPr="006E15DE">
        <w:rPr>
          <w:rFonts w:eastAsia="Cambria" w:cs="Times New Roman"/>
          <w:bCs/>
          <w:sz w:val="20"/>
          <w:szCs w:val="20"/>
          <w:lang w:val="es-ES"/>
        </w:rPr>
        <w:t xml:space="preserve"> sentencia.</w:t>
      </w:r>
    </w:p>
    <w:p w14:paraId="6A05A809" w14:textId="77777777" w:rsidR="006E15DE" w:rsidRDefault="006E15DE" w:rsidP="006E15DE">
      <w:pPr>
        <w:jc w:val="both"/>
        <w:rPr>
          <w:rFonts w:eastAsia="Cambria" w:cs="Times New Roman"/>
          <w:bCs/>
          <w:sz w:val="20"/>
          <w:szCs w:val="20"/>
          <w:lang w:val="es-ES"/>
        </w:rPr>
      </w:pPr>
    </w:p>
    <w:p w14:paraId="2A44E6E4" w14:textId="2D84E4C4" w:rsidR="006E15DE" w:rsidRPr="006E15DE" w:rsidRDefault="006E15DE" w:rsidP="07A11E44">
      <w:pPr>
        <w:jc w:val="both"/>
        <w:rPr>
          <w:rFonts w:eastAsia="Cambria" w:cs="Times New Roman"/>
          <w:sz w:val="20"/>
          <w:szCs w:val="20"/>
          <w:lang w:val="es-ES"/>
        </w:rPr>
      </w:pPr>
      <w:r w:rsidRPr="07A11E44">
        <w:rPr>
          <w:rFonts w:eastAsia="Cambria" w:cs="Times New Roman"/>
          <w:sz w:val="20"/>
          <w:szCs w:val="20"/>
          <w:lang w:val="es-ES"/>
        </w:rPr>
        <w:t xml:space="preserve">3. </w:t>
      </w:r>
      <w:r>
        <w:tab/>
      </w:r>
      <w:r w:rsidR="63D26737" w:rsidRPr="07A11E44">
        <w:rPr>
          <w:rFonts w:eastAsia="Cambria" w:cs="Times New Roman"/>
          <w:sz w:val="20"/>
          <w:szCs w:val="20"/>
          <w:lang w:val="es-ES"/>
        </w:rPr>
        <w:t xml:space="preserve">El </w:t>
      </w:r>
      <w:r w:rsidRPr="07A11E44">
        <w:rPr>
          <w:rFonts w:eastAsia="Cambria" w:cs="Times New Roman"/>
          <w:sz w:val="20"/>
          <w:szCs w:val="20"/>
          <w:lang w:val="es-ES"/>
        </w:rPr>
        <w:t xml:space="preserve">Estado debe brindar el tratamiento psicológico y psiquiátrico que requieran las víctimas, en los términos de lo establecido en el párrafo 114 de </w:t>
      </w:r>
      <w:r w:rsidR="00965A29">
        <w:rPr>
          <w:rFonts w:eastAsia="Cambria" w:cs="Times New Roman"/>
          <w:sz w:val="20"/>
          <w:szCs w:val="20"/>
          <w:lang w:val="es-ES"/>
        </w:rPr>
        <w:t>la</w:t>
      </w:r>
      <w:r w:rsidRPr="07A11E44">
        <w:rPr>
          <w:rFonts w:eastAsia="Cambria" w:cs="Times New Roman"/>
          <w:sz w:val="20"/>
          <w:szCs w:val="20"/>
          <w:lang w:val="es-ES"/>
        </w:rPr>
        <w:t xml:space="preserve"> sentencia.</w:t>
      </w:r>
    </w:p>
    <w:p w14:paraId="5A39BBE3" w14:textId="77777777" w:rsidR="006E15DE" w:rsidRDefault="006E15DE" w:rsidP="006E15DE">
      <w:pPr>
        <w:jc w:val="both"/>
        <w:rPr>
          <w:rFonts w:eastAsia="Cambria" w:cs="Times New Roman"/>
          <w:bCs/>
          <w:sz w:val="20"/>
          <w:szCs w:val="20"/>
          <w:lang w:val="es-ES"/>
        </w:rPr>
      </w:pPr>
    </w:p>
    <w:p w14:paraId="75E70891" w14:textId="16ECE51B" w:rsidR="00D3440D" w:rsidRPr="00C04CCC" w:rsidRDefault="006E15DE" w:rsidP="423B8C01">
      <w:pPr>
        <w:jc w:val="both"/>
        <w:rPr>
          <w:rFonts w:eastAsia="Verdana" w:cs="Verdana"/>
          <w:color w:val="000000" w:themeColor="text1"/>
          <w:sz w:val="20"/>
          <w:szCs w:val="20"/>
          <w:lang w:val="es-ES"/>
        </w:rPr>
      </w:pPr>
      <w:r w:rsidRPr="006E15DE">
        <w:rPr>
          <w:rFonts w:eastAsia="Cambria" w:cs="Times New Roman"/>
          <w:bCs/>
          <w:sz w:val="20"/>
          <w:szCs w:val="20"/>
          <w:lang w:val="es-ES"/>
        </w:rPr>
        <w:cr/>
      </w:r>
      <w:r w:rsidR="304FD7A9" w:rsidRPr="423B8C01">
        <w:rPr>
          <w:rFonts w:eastAsia="Verdana" w:cs="Verdana"/>
          <w:b/>
          <w:bCs/>
          <w:color w:val="000000" w:themeColor="text1"/>
          <w:sz w:val="20"/>
          <w:szCs w:val="20"/>
          <w:lang w:val="es-ES"/>
        </w:rPr>
        <w:t>Cumplimiento parcial:</w:t>
      </w:r>
    </w:p>
    <w:p w14:paraId="2E328993" w14:textId="77777777" w:rsidR="00234EAF" w:rsidRDefault="00234EAF" w:rsidP="00234EAF">
      <w:pPr>
        <w:tabs>
          <w:tab w:val="left" w:pos="720"/>
        </w:tabs>
        <w:ind w:right="-90"/>
        <w:jc w:val="both"/>
        <w:rPr>
          <w:rFonts w:eastAsia="Verdana" w:cs="Verdana"/>
          <w:sz w:val="20"/>
          <w:szCs w:val="20"/>
          <w:lang w:val="es-ES"/>
        </w:rPr>
      </w:pPr>
    </w:p>
    <w:p w14:paraId="63D4A591" w14:textId="77777777" w:rsidR="00234EAF" w:rsidRDefault="00234EAF" w:rsidP="00234EAF">
      <w:pPr>
        <w:tabs>
          <w:tab w:val="left" w:pos="720"/>
        </w:tabs>
        <w:ind w:right="-90"/>
        <w:jc w:val="both"/>
        <w:rPr>
          <w:szCs w:val="16"/>
          <w:lang w:val="es-ES"/>
        </w:rPr>
      </w:pPr>
      <w:r w:rsidRPr="17C04C96">
        <w:rPr>
          <w:rFonts w:eastAsia="Verdana" w:cs="Verdana"/>
          <w:sz w:val="20"/>
          <w:szCs w:val="20"/>
          <w:lang w:val="es-ES"/>
        </w:rPr>
        <w:t xml:space="preserve">4.       </w:t>
      </w:r>
      <w:r w:rsidRPr="00FD4089">
        <w:rPr>
          <w:rFonts w:eastAsia="Verdana" w:cs="Verdana"/>
          <w:sz w:val="20"/>
          <w:szCs w:val="20"/>
          <w:lang w:val="es-ES"/>
        </w:rPr>
        <w:t>El Estado realizará las publicaciones indicadas en el párrafo 117 de la Sentencia</w:t>
      </w:r>
      <w:r w:rsidRPr="17C04C96">
        <w:rPr>
          <w:rFonts w:eastAsia="Verdana" w:cs="Verdana"/>
          <w:sz w:val="20"/>
          <w:szCs w:val="20"/>
          <w:lang w:val="es-ES"/>
        </w:rPr>
        <w:t>.</w:t>
      </w:r>
    </w:p>
    <w:p w14:paraId="6FE099BE" w14:textId="77777777" w:rsidR="00234EAF" w:rsidRDefault="00234EAF" w:rsidP="00234EAF">
      <w:pPr>
        <w:tabs>
          <w:tab w:val="left" w:pos="720"/>
        </w:tabs>
        <w:ind w:right="-90"/>
        <w:jc w:val="both"/>
        <w:rPr>
          <w:rFonts w:eastAsia="Verdana" w:cs="Verdana"/>
          <w:sz w:val="20"/>
          <w:szCs w:val="20"/>
          <w:lang w:val="es-ES"/>
        </w:rPr>
      </w:pPr>
    </w:p>
    <w:p w14:paraId="167707B6" w14:textId="77777777" w:rsidR="00234EAF" w:rsidRDefault="00234EAF" w:rsidP="00234EAF">
      <w:pPr>
        <w:tabs>
          <w:tab w:val="left" w:pos="720"/>
        </w:tabs>
        <w:ind w:right="-90"/>
        <w:jc w:val="both"/>
        <w:rPr>
          <w:rFonts w:eastAsia="Verdana" w:cs="Verdana"/>
          <w:sz w:val="20"/>
          <w:szCs w:val="20"/>
          <w:lang w:val="es-ES"/>
        </w:rPr>
      </w:pPr>
      <w:r w:rsidRPr="17C04C96">
        <w:rPr>
          <w:rFonts w:eastAsia="Verdana" w:cs="Verdana"/>
          <w:sz w:val="20"/>
          <w:szCs w:val="20"/>
          <w:lang w:val="es-ES"/>
        </w:rPr>
        <w:t>En el Considerando 2 de la Resolución de la Corte de 26 de junio 2023, se explica lo que continúa pendiente de cumplimiento de la presente medida de reparación.</w:t>
      </w:r>
    </w:p>
    <w:p w14:paraId="6F6F83FE" w14:textId="77777777" w:rsidR="00234EAF" w:rsidRDefault="00234EAF" w:rsidP="00234EAF">
      <w:pPr>
        <w:tabs>
          <w:tab w:val="left" w:pos="720"/>
        </w:tabs>
        <w:ind w:right="-90"/>
        <w:jc w:val="both"/>
        <w:rPr>
          <w:rFonts w:eastAsia="Verdana" w:cs="Verdana"/>
          <w:sz w:val="18"/>
          <w:szCs w:val="18"/>
          <w:lang w:val="es-ES"/>
        </w:rPr>
      </w:pPr>
    </w:p>
    <w:p w14:paraId="24278DED" w14:textId="77777777" w:rsidR="00234EAF" w:rsidRDefault="00234EAF" w:rsidP="00234EAF">
      <w:pPr>
        <w:tabs>
          <w:tab w:val="left" w:pos="720"/>
        </w:tabs>
        <w:ind w:right="-90"/>
        <w:jc w:val="both"/>
        <w:rPr>
          <w:rFonts w:eastAsia="Verdana" w:cs="Verdana"/>
          <w:sz w:val="18"/>
          <w:szCs w:val="18"/>
          <w:lang w:val="es-ES"/>
        </w:rPr>
      </w:pPr>
    </w:p>
    <w:p w14:paraId="1C7C913F" w14:textId="77777777" w:rsidR="00234EAF" w:rsidRDefault="00234EAF" w:rsidP="00234EAF">
      <w:pPr>
        <w:tabs>
          <w:tab w:val="left" w:pos="720"/>
        </w:tabs>
        <w:ind w:left="540" w:right="-90"/>
        <w:jc w:val="both"/>
        <w:rPr>
          <w:szCs w:val="16"/>
          <w:lang w:val="es-ES"/>
        </w:rPr>
      </w:pPr>
      <w:r w:rsidRPr="17C04C96">
        <w:rPr>
          <w:rFonts w:eastAsia="Verdana" w:cs="Verdana"/>
          <w:color w:val="000000" w:themeColor="text1"/>
          <w:sz w:val="18"/>
          <w:szCs w:val="18"/>
          <w:lang w:val="es-ES"/>
        </w:rPr>
        <w:t xml:space="preserve">2. </w:t>
      </w:r>
      <w:r w:rsidRPr="17C04C96">
        <w:rPr>
          <w:rFonts w:eastAsia="Verdana" w:cs="Verdana"/>
          <w:sz w:val="18"/>
          <w:szCs w:val="18"/>
          <w:lang w:val="es-ES"/>
        </w:rPr>
        <w:t>La Corte considera que Ecuador ha dado cumplimiento parcial a las medidas relativas a la publicación y difusión de la Sentencia ordenadas en el punto resolutivo octavo y en el párrafo 117 de la misma, ya que ha constatado que publicó: a) el resumen oficial de la Sentencia en el Registro Oficial, y b) el texto integral de la Sentencia en el sitio web oficial de la Policía Nacional, la cual deberá permanecer disponible al menos por un año, hasta el 8 de junio de 2023, conforme a lo ordenado en el referido párrafo 117. Se encuentra pendiente la publicación del resumen oficial de la Sentencia en un diario de amplia circulación nacional, cuyo plazo de cumplimiento venció el 7 de abril de 2022, por lo que este Tribunal requiere al Estado dar pronto cumplimiento a este extremo de la medida y presentar información actualizada en el informe requerido el 14 de marzo (supra Visto 3).</w:t>
      </w:r>
    </w:p>
    <w:p w14:paraId="4B72C2F1" w14:textId="00649847" w:rsidR="00D3440D" w:rsidRPr="00C04CCC" w:rsidRDefault="00D3440D" w:rsidP="00234EAF">
      <w:pPr>
        <w:tabs>
          <w:tab w:val="left" w:pos="720"/>
        </w:tabs>
        <w:ind w:right="-90"/>
        <w:jc w:val="both"/>
        <w:rPr>
          <w:rFonts w:eastAsia="Verdana" w:cs="Verdana"/>
          <w:color w:val="000000" w:themeColor="text1"/>
          <w:sz w:val="18"/>
          <w:szCs w:val="18"/>
          <w:lang w:val="es-ES"/>
        </w:rPr>
      </w:pPr>
    </w:p>
    <w:sectPr w:rsidR="00D3440D" w:rsidRPr="00C04C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5154EE" w:rsidRDefault="005154EE" w:rsidP="009F7EF4">
      <w:r>
        <w:separator/>
      </w:r>
    </w:p>
  </w:endnote>
  <w:endnote w:type="continuationSeparator" w:id="0">
    <w:p w14:paraId="44EAFD9C" w14:textId="77777777" w:rsidR="005154EE" w:rsidRDefault="005154E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E22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D0B940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5154EE" w:rsidRDefault="005154EE" w:rsidP="009F7EF4">
      <w:r>
        <w:separator/>
      </w:r>
    </w:p>
  </w:footnote>
  <w:footnote w:type="continuationSeparator" w:id="0">
    <w:p w14:paraId="3DEEC669" w14:textId="77777777" w:rsidR="005154EE" w:rsidRDefault="005154E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D3D22A9"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5304C">
          <w:rPr>
            <w:noProof/>
            <w:sz w:val="20"/>
            <w:szCs w:val="20"/>
          </w:rPr>
          <w:t>1</w:t>
        </w:r>
        <w:r w:rsidRPr="00675FE7">
          <w:rPr>
            <w:noProof/>
            <w:sz w:val="20"/>
            <w:szCs w:val="20"/>
          </w:rPr>
          <w:fldChar w:fldCharType="end"/>
        </w:r>
      </w:p>
    </w:sdtContent>
  </w:sdt>
  <w:p w14:paraId="0E27B00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273101">
    <w:abstractNumId w:val="6"/>
  </w:num>
  <w:num w:numId="2" w16cid:durableId="1321153868">
    <w:abstractNumId w:val="2"/>
  </w:num>
  <w:num w:numId="3" w16cid:durableId="1467893584">
    <w:abstractNumId w:val="5"/>
  </w:num>
  <w:num w:numId="4" w16cid:durableId="648510834">
    <w:abstractNumId w:val="0"/>
  </w:num>
  <w:num w:numId="5" w16cid:durableId="605189024">
    <w:abstractNumId w:val="1"/>
  </w:num>
  <w:num w:numId="6" w16cid:durableId="1795827981">
    <w:abstractNumId w:val="3"/>
  </w:num>
  <w:num w:numId="7" w16cid:durableId="346252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101CC6"/>
    <w:rsid w:val="001426AA"/>
    <w:rsid w:val="001729AE"/>
    <w:rsid w:val="001F3394"/>
    <w:rsid w:val="00214AB7"/>
    <w:rsid w:val="00234EAF"/>
    <w:rsid w:val="00296F77"/>
    <w:rsid w:val="002B3295"/>
    <w:rsid w:val="002E376C"/>
    <w:rsid w:val="003A7E5E"/>
    <w:rsid w:val="003C561A"/>
    <w:rsid w:val="003E2FF4"/>
    <w:rsid w:val="00474D04"/>
    <w:rsid w:val="00476F6E"/>
    <w:rsid w:val="005154EE"/>
    <w:rsid w:val="005A203D"/>
    <w:rsid w:val="005D1A85"/>
    <w:rsid w:val="006022F0"/>
    <w:rsid w:val="00617B3E"/>
    <w:rsid w:val="006A777A"/>
    <w:rsid w:val="006C38A6"/>
    <w:rsid w:val="006E15DE"/>
    <w:rsid w:val="00792165"/>
    <w:rsid w:val="0079334C"/>
    <w:rsid w:val="00834F1A"/>
    <w:rsid w:val="00876E46"/>
    <w:rsid w:val="00926FFB"/>
    <w:rsid w:val="00965A29"/>
    <w:rsid w:val="009832C0"/>
    <w:rsid w:val="009D22BE"/>
    <w:rsid w:val="009D6A26"/>
    <w:rsid w:val="009F7EF4"/>
    <w:rsid w:val="00A1649A"/>
    <w:rsid w:val="00AA6B2F"/>
    <w:rsid w:val="00AE0035"/>
    <w:rsid w:val="00B11B9B"/>
    <w:rsid w:val="00B32A37"/>
    <w:rsid w:val="00B33305"/>
    <w:rsid w:val="00BA6BA9"/>
    <w:rsid w:val="00BC5824"/>
    <w:rsid w:val="00C04CCC"/>
    <w:rsid w:val="00C4747D"/>
    <w:rsid w:val="00C66067"/>
    <w:rsid w:val="00C807CF"/>
    <w:rsid w:val="00CE709C"/>
    <w:rsid w:val="00CF5AE9"/>
    <w:rsid w:val="00D3440D"/>
    <w:rsid w:val="00E42392"/>
    <w:rsid w:val="00E50670"/>
    <w:rsid w:val="00E507C2"/>
    <w:rsid w:val="00E5304C"/>
    <w:rsid w:val="00E85D9E"/>
    <w:rsid w:val="00F50093"/>
    <w:rsid w:val="04B28456"/>
    <w:rsid w:val="07A11E44"/>
    <w:rsid w:val="304FD7A9"/>
    <w:rsid w:val="423B8C01"/>
    <w:rsid w:val="5EFB7A9C"/>
    <w:rsid w:val="63D26737"/>
    <w:rsid w:val="6CCAFE10"/>
    <w:rsid w:val="72F4E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1CE4"/>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1777</Characters>
  <Application>Microsoft Office Word</Application>
  <DocSecurity>0</DocSecurity>
  <Lines>14</Lines>
  <Paragraphs>4</Paragraphs>
  <ScaleCrop>false</ScaleCrop>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22</cp:revision>
  <cp:lastPrinted>2023-10-26T15:23:00Z</cp:lastPrinted>
  <dcterms:created xsi:type="dcterms:W3CDTF">2018-07-09T19:23:00Z</dcterms:created>
  <dcterms:modified xsi:type="dcterms:W3CDTF">2023-10-26T15:24:00Z</dcterms:modified>
</cp:coreProperties>
</file>